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b/>
          <w:bCs/>
          <w:sz w:val="28"/>
          <w:szCs w:val="28"/>
        </w:rPr>
        <w:t>华东理工大学20</w:t>
      </w:r>
      <w:r>
        <w:rPr>
          <w:rFonts w:hint="eastAsia"/>
          <w:b/>
          <w:bCs/>
          <w:sz w:val="28"/>
          <w:szCs w:val="28"/>
        </w:rPr>
        <w:t>2</w:t>
      </w:r>
      <w:r>
        <w:rPr>
          <w:rFonts w:hint="eastAsia"/>
          <w:b/>
          <w:bCs/>
          <w:sz w:val="28"/>
          <w:szCs w:val="28"/>
          <w:lang w:val="en-US" w:eastAsia="zh-CN"/>
        </w:rPr>
        <w:t>4</w:t>
      </w:r>
      <w:r>
        <w:rPr>
          <w:b/>
          <w:bCs/>
          <w:sz w:val="28"/>
          <w:szCs w:val="28"/>
        </w:rPr>
        <w:t>年</w:t>
      </w:r>
      <w:r>
        <w:rPr>
          <w:rFonts w:hint="eastAsia"/>
          <w:b/>
          <w:bCs/>
          <w:sz w:val="28"/>
          <w:szCs w:val="28"/>
        </w:rPr>
        <w:t>普通招考考生</w:t>
      </w:r>
      <w:r>
        <w:rPr>
          <w:b/>
          <w:bCs/>
          <w:sz w:val="28"/>
          <w:szCs w:val="28"/>
        </w:rPr>
        <w:t>体检通知</w:t>
      </w:r>
    </w:p>
    <w:p>
      <w:pPr>
        <w:widowControl/>
        <w:spacing w:before="100" w:beforeAutospacing="1" w:after="100" w:afterAutospacing="1" w:line="440" w:lineRule="exact"/>
        <w:ind w:firstLine="480" w:firstLineChars="200"/>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华东理工大学对考生的体检要求参照教育部、卫生部、中国残联印发的《普通高等学校招生体检工作指导意见》（教学〔</w:t>
      </w:r>
      <w:r>
        <w:rPr>
          <w:rFonts w:cs="宋体" w:asciiTheme="majorEastAsia" w:hAnsiTheme="majorEastAsia" w:eastAsiaTheme="majorEastAsia"/>
          <w:kern w:val="0"/>
          <w:sz w:val="24"/>
          <w:szCs w:val="24"/>
        </w:rPr>
        <w:t>2003</w:t>
      </w:r>
      <w:r>
        <w:rPr>
          <w:rFonts w:hint="eastAsia" w:cs="宋体" w:asciiTheme="majorEastAsia" w:hAnsiTheme="majorEastAsia" w:eastAsiaTheme="majorEastAsia"/>
          <w:kern w:val="0"/>
          <w:sz w:val="24"/>
          <w:szCs w:val="24"/>
        </w:rPr>
        <w:t>〕</w:t>
      </w:r>
      <w:r>
        <w:rPr>
          <w:rFonts w:cs="宋体" w:asciiTheme="majorEastAsia" w:hAnsiTheme="majorEastAsia" w:eastAsiaTheme="majorEastAsia"/>
          <w:kern w:val="0"/>
          <w:sz w:val="24"/>
          <w:szCs w:val="24"/>
        </w:rPr>
        <w:t>3</w:t>
      </w:r>
      <w:r>
        <w:rPr>
          <w:rFonts w:hint="eastAsia" w:cs="宋体" w:asciiTheme="majorEastAsia" w:hAnsiTheme="majorEastAsia" w:eastAsiaTheme="majorEastAsia"/>
          <w:kern w:val="0"/>
          <w:sz w:val="24"/>
          <w:szCs w:val="24"/>
        </w:rPr>
        <w:t>号）以及《教育部办公厅</w:t>
      </w:r>
      <w:r>
        <w:rPr>
          <w:rFonts w:cs="宋体" w:asciiTheme="majorEastAsia" w:hAnsiTheme="majorEastAsia" w:eastAsiaTheme="majorEastAsia"/>
          <w:kern w:val="0"/>
          <w:sz w:val="24"/>
          <w:szCs w:val="24"/>
        </w:rPr>
        <w:t xml:space="preserve"> </w:t>
      </w:r>
      <w:r>
        <w:rPr>
          <w:rFonts w:hint="eastAsia" w:cs="宋体" w:asciiTheme="majorEastAsia" w:hAnsiTheme="majorEastAsia" w:eastAsiaTheme="majorEastAsia"/>
          <w:kern w:val="0"/>
          <w:sz w:val="24"/>
          <w:szCs w:val="24"/>
        </w:rPr>
        <w:t>卫生部办公厅关于普通高等学校招生学生入学身体检查取消乙肝项目检测有关问题的通知》（教学厅〔</w:t>
      </w:r>
      <w:r>
        <w:rPr>
          <w:rFonts w:cs="宋体" w:asciiTheme="majorEastAsia" w:hAnsiTheme="majorEastAsia" w:eastAsiaTheme="majorEastAsia"/>
          <w:kern w:val="0"/>
          <w:sz w:val="24"/>
          <w:szCs w:val="24"/>
        </w:rPr>
        <w:t>2010</w:t>
      </w:r>
      <w:r>
        <w:rPr>
          <w:rFonts w:hint="eastAsia" w:cs="宋体" w:asciiTheme="majorEastAsia" w:hAnsiTheme="majorEastAsia" w:eastAsiaTheme="majorEastAsia"/>
          <w:kern w:val="0"/>
          <w:sz w:val="24"/>
          <w:szCs w:val="24"/>
        </w:rPr>
        <w:t>〕</w:t>
      </w:r>
      <w:r>
        <w:rPr>
          <w:rFonts w:cs="宋体" w:asciiTheme="majorEastAsia" w:hAnsiTheme="majorEastAsia" w:eastAsiaTheme="majorEastAsia"/>
          <w:kern w:val="0"/>
          <w:sz w:val="24"/>
          <w:szCs w:val="24"/>
        </w:rPr>
        <w:t>2</w:t>
      </w:r>
      <w:r>
        <w:rPr>
          <w:rFonts w:hint="eastAsia" w:cs="宋体" w:asciiTheme="majorEastAsia" w:hAnsiTheme="majorEastAsia" w:eastAsiaTheme="majorEastAsia"/>
          <w:kern w:val="0"/>
          <w:sz w:val="24"/>
          <w:szCs w:val="24"/>
        </w:rPr>
        <w:t>号）规定执行。</w:t>
      </w:r>
    </w:p>
    <w:p>
      <w:pPr>
        <w:widowControl/>
        <w:spacing w:before="100" w:beforeAutospacing="1" w:after="100" w:afterAutospacing="1" w:line="440" w:lineRule="exact"/>
        <w:ind w:firstLine="480" w:firstLineChars="200"/>
        <w:jc w:val="left"/>
        <w:rPr>
          <w:rFonts w:ascii="宋体" w:hAnsi="宋体"/>
          <w:sz w:val="24"/>
        </w:rPr>
      </w:pPr>
      <w:r>
        <w:rPr>
          <w:rFonts w:hint="eastAsia" w:cs="宋体" w:asciiTheme="majorEastAsia" w:hAnsiTheme="majorEastAsia" w:eastAsiaTheme="majorEastAsia"/>
          <w:kern w:val="0"/>
          <w:sz w:val="24"/>
          <w:szCs w:val="24"/>
        </w:rPr>
        <w:t>请报考202</w:t>
      </w:r>
      <w:r>
        <w:rPr>
          <w:rFonts w:hint="eastAsia" w:cs="宋体" w:asciiTheme="majorEastAsia" w:hAnsiTheme="majorEastAsia" w:eastAsiaTheme="majorEastAsia"/>
          <w:kern w:val="0"/>
          <w:sz w:val="24"/>
          <w:szCs w:val="24"/>
          <w:lang w:val="en-US" w:eastAsia="zh-CN"/>
        </w:rPr>
        <w:t>4</w:t>
      </w:r>
      <w:r>
        <w:rPr>
          <w:rFonts w:hint="eastAsia" w:cs="宋体" w:asciiTheme="majorEastAsia" w:hAnsiTheme="majorEastAsia" w:eastAsiaTheme="majorEastAsia"/>
          <w:kern w:val="0"/>
          <w:sz w:val="24"/>
          <w:szCs w:val="24"/>
        </w:rPr>
        <w:t>年普通招考博士研究生的考生到</w:t>
      </w:r>
      <w:r>
        <w:rPr>
          <w:rFonts w:ascii="宋体" w:hAnsi="宋体" w:eastAsia="宋体" w:cs="宋体"/>
          <w:kern w:val="0"/>
          <w:sz w:val="24"/>
          <w:szCs w:val="24"/>
        </w:rPr>
        <w:t>当地二甲以上</w:t>
      </w:r>
      <w:r>
        <w:rPr>
          <w:rFonts w:hint="eastAsia" w:ascii="宋体" w:hAnsi="宋体" w:eastAsia="宋体" w:cs="宋体"/>
          <w:kern w:val="0"/>
          <w:sz w:val="24"/>
          <w:szCs w:val="24"/>
        </w:rPr>
        <w:t>（含</w:t>
      </w:r>
      <w:r>
        <w:rPr>
          <w:rFonts w:ascii="宋体" w:hAnsi="宋体" w:eastAsia="宋体" w:cs="宋体"/>
          <w:kern w:val="0"/>
          <w:sz w:val="24"/>
          <w:szCs w:val="24"/>
        </w:rPr>
        <w:t>二甲）医院</w:t>
      </w:r>
      <w:r>
        <w:rPr>
          <w:rFonts w:hint="eastAsia" w:ascii="宋体" w:hAnsi="宋体" w:eastAsia="宋体" w:cs="宋体"/>
          <w:kern w:val="0"/>
          <w:sz w:val="24"/>
          <w:szCs w:val="24"/>
        </w:rPr>
        <w:t>进行</w:t>
      </w:r>
      <w:r>
        <w:rPr>
          <w:rFonts w:ascii="宋体" w:hAnsi="宋体" w:eastAsia="宋体" w:cs="宋体"/>
          <w:kern w:val="0"/>
          <w:sz w:val="24"/>
          <w:szCs w:val="24"/>
        </w:rPr>
        <w:t>体检</w:t>
      </w:r>
      <w:r>
        <w:rPr>
          <w:rFonts w:hint="eastAsia" w:ascii="宋体" w:hAnsi="宋体" w:eastAsia="宋体" w:cs="宋体"/>
          <w:kern w:val="0"/>
          <w:sz w:val="24"/>
          <w:szCs w:val="24"/>
        </w:rPr>
        <w:t>，</w:t>
      </w:r>
      <w:r>
        <w:rPr>
          <w:rFonts w:ascii="宋体" w:hAnsi="宋体" w:eastAsia="宋体" w:cs="宋体"/>
          <w:kern w:val="0"/>
          <w:sz w:val="24"/>
          <w:szCs w:val="24"/>
        </w:rPr>
        <w:t>体检项目</w:t>
      </w:r>
      <w:r>
        <w:rPr>
          <w:rFonts w:hint="eastAsia" w:cs="宋体" w:asciiTheme="majorEastAsia" w:hAnsiTheme="majorEastAsia" w:eastAsiaTheme="majorEastAsia"/>
          <w:kern w:val="0"/>
          <w:sz w:val="24"/>
          <w:szCs w:val="24"/>
        </w:rPr>
        <w:t>为</w:t>
      </w:r>
      <w:r>
        <w:rPr>
          <w:rFonts w:hint="eastAsia" w:ascii="宋体" w:hAnsi="宋体" w:eastAsia="宋体" w:cs="Times New Roman"/>
          <w:sz w:val="24"/>
        </w:rPr>
        <w:t>：抽血化验、胸透、血压、视力、身高体重、嗅觉、辨色力、内外科。</w:t>
      </w:r>
      <w:r>
        <w:rPr>
          <w:rFonts w:hint="eastAsia" w:ascii="宋体" w:hAnsi="宋体"/>
          <w:sz w:val="24"/>
        </w:rPr>
        <w:t>附件“体格检查表”可作参考,具体表格形式以当地医院为准。</w:t>
      </w:r>
    </w:p>
    <w:p>
      <w:pPr>
        <w:widowControl/>
        <w:spacing w:before="100" w:beforeAutospacing="1" w:after="100" w:afterAutospacing="1" w:line="440" w:lineRule="exact"/>
        <w:ind w:firstLine="480" w:firstLineChars="200"/>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体检表的</w:t>
      </w:r>
      <w:r>
        <w:rPr>
          <w:rFonts w:cs="宋体" w:asciiTheme="majorEastAsia" w:hAnsiTheme="majorEastAsia" w:eastAsiaTheme="majorEastAsia"/>
          <w:kern w:val="0"/>
          <w:sz w:val="24"/>
          <w:szCs w:val="24"/>
        </w:rPr>
        <w:t>有效期为20</w:t>
      </w:r>
      <w:r>
        <w:rPr>
          <w:rFonts w:hint="eastAsia" w:cs="宋体" w:asciiTheme="majorEastAsia" w:hAnsiTheme="majorEastAsia" w:eastAsiaTheme="majorEastAsia"/>
          <w:kern w:val="0"/>
          <w:sz w:val="24"/>
          <w:szCs w:val="24"/>
        </w:rPr>
        <w:t>2</w:t>
      </w:r>
      <w:r>
        <w:rPr>
          <w:rFonts w:hint="eastAsia" w:cs="宋体" w:asciiTheme="majorEastAsia" w:hAnsiTheme="majorEastAsia" w:eastAsiaTheme="majorEastAsia"/>
          <w:kern w:val="0"/>
          <w:sz w:val="24"/>
          <w:szCs w:val="24"/>
          <w:lang w:val="en-US" w:eastAsia="zh-CN"/>
        </w:rPr>
        <w:t>3</w:t>
      </w:r>
      <w:r>
        <w:rPr>
          <w:rFonts w:cs="宋体" w:asciiTheme="majorEastAsia" w:hAnsiTheme="majorEastAsia" w:eastAsiaTheme="majorEastAsia"/>
          <w:kern w:val="0"/>
          <w:sz w:val="24"/>
          <w:szCs w:val="24"/>
        </w:rPr>
        <w:t>年</w:t>
      </w:r>
      <w:r>
        <w:rPr>
          <w:rFonts w:hint="eastAsia" w:cs="宋体" w:asciiTheme="majorEastAsia" w:hAnsiTheme="majorEastAsia" w:eastAsiaTheme="majorEastAsia"/>
          <w:kern w:val="0"/>
          <w:sz w:val="24"/>
          <w:szCs w:val="24"/>
          <w:lang w:val="en-US" w:eastAsia="zh-CN"/>
        </w:rPr>
        <w:t>11</w:t>
      </w:r>
      <w:r>
        <w:rPr>
          <w:rFonts w:cs="宋体" w:asciiTheme="majorEastAsia" w:hAnsiTheme="majorEastAsia" w:eastAsiaTheme="majorEastAsia"/>
          <w:kern w:val="0"/>
          <w:sz w:val="24"/>
          <w:szCs w:val="24"/>
        </w:rPr>
        <w:t>月-2</w:t>
      </w:r>
      <w:r>
        <w:rPr>
          <w:rFonts w:hint="eastAsia" w:cs="宋体" w:asciiTheme="majorEastAsia" w:hAnsiTheme="majorEastAsia" w:eastAsiaTheme="majorEastAsia"/>
          <w:kern w:val="0"/>
          <w:sz w:val="24"/>
          <w:szCs w:val="24"/>
        </w:rPr>
        <w:t>02</w:t>
      </w:r>
      <w:r>
        <w:rPr>
          <w:rFonts w:hint="eastAsia" w:cs="宋体" w:asciiTheme="majorEastAsia" w:hAnsiTheme="majorEastAsia" w:eastAsiaTheme="majorEastAsia"/>
          <w:kern w:val="0"/>
          <w:sz w:val="24"/>
          <w:szCs w:val="24"/>
          <w:lang w:val="en-US" w:eastAsia="zh-CN"/>
        </w:rPr>
        <w:t>3</w:t>
      </w:r>
      <w:r>
        <w:rPr>
          <w:rFonts w:hint="eastAsia" w:cs="宋体" w:asciiTheme="majorEastAsia" w:hAnsiTheme="majorEastAsia" w:eastAsiaTheme="majorEastAsia"/>
          <w:kern w:val="0"/>
          <w:sz w:val="24"/>
          <w:szCs w:val="24"/>
        </w:rPr>
        <w:t>年1</w:t>
      </w:r>
      <w:r>
        <w:rPr>
          <w:rFonts w:hint="eastAsia" w:cs="宋体" w:asciiTheme="majorEastAsia" w:hAnsiTheme="majorEastAsia" w:eastAsiaTheme="majorEastAsia"/>
          <w:kern w:val="0"/>
          <w:sz w:val="24"/>
          <w:szCs w:val="24"/>
          <w:lang w:val="en-US" w:eastAsia="zh-CN"/>
        </w:rPr>
        <w:t>2</w:t>
      </w:r>
      <w:r>
        <w:rPr>
          <w:rFonts w:cs="宋体" w:asciiTheme="majorEastAsia" w:hAnsiTheme="majorEastAsia" w:eastAsiaTheme="majorEastAsia"/>
          <w:kern w:val="0"/>
          <w:sz w:val="24"/>
          <w:szCs w:val="24"/>
        </w:rPr>
        <w:t>月</w:t>
      </w:r>
      <w:r>
        <w:rPr>
          <w:rFonts w:hint="eastAsia" w:cs="宋体" w:asciiTheme="majorEastAsia" w:hAnsiTheme="majorEastAsia" w:eastAsiaTheme="majorEastAsia"/>
          <w:kern w:val="0"/>
          <w:sz w:val="24"/>
          <w:szCs w:val="24"/>
        </w:rPr>
        <w:t>。</w:t>
      </w:r>
    </w:p>
    <w:p>
      <w:pPr>
        <w:widowControl/>
        <w:spacing w:before="100" w:beforeAutospacing="1" w:after="100" w:afterAutospacing="1"/>
        <w:jc w:val="left"/>
        <w:rPr>
          <w:rFonts w:cs="宋体" w:asciiTheme="majorEastAsia" w:hAnsiTheme="majorEastAsia" w:eastAsiaTheme="majorEastAsia"/>
          <w:b/>
          <w:bCs/>
          <w:kern w:val="0"/>
          <w:sz w:val="24"/>
          <w:szCs w:val="24"/>
        </w:rPr>
      </w:pPr>
    </w:p>
    <w:p>
      <w:pPr>
        <w:widowControl/>
        <w:spacing w:before="100" w:beforeAutospacing="1" w:after="100" w:afterAutospacing="1"/>
        <w:jc w:val="left"/>
        <w:rPr>
          <w:rFonts w:cs="宋体" w:asciiTheme="majorEastAsia" w:hAnsiTheme="majorEastAsia" w:eastAsiaTheme="majorEastAsia"/>
          <w:bCs/>
          <w:kern w:val="0"/>
          <w:sz w:val="24"/>
          <w:szCs w:val="24"/>
        </w:rPr>
      </w:pPr>
      <w:r>
        <w:rPr>
          <w:rFonts w:hint="eastAsia" w:cs="宋体" w:asciiTheme="majorEastAsia" w:hAnsiTheme="majorEastAsia" w:eastAsiaTheme="majorEastAsia"/>
          <w:bCs/>
          <w:kern w:val="0"/>
          <w:sz w:val="24"/>
          <w:szCs w:val="24"/>
        </w:rPr>
        <w:t>附件：体格检查表</w:t>
      </w:r>
    </w:p>
    <w:p>
      <w:pPr>
        <w:widowControl/>
        <w:spacing w:before="100" w:beforeAutospacing="1" w:after="100" w:afterAutospacing="1"/>
        <w:jc w:val="left"/>
        <w:rPr>
          <w:rFonts w:cs="宋体" w:asciiTheme="majorEastAsia" w:hAnsiTheme="majorEastAsia" w:eastAsiaTheme="majorEastAsia"/>
          <w:kern w:val="0"/>
          <w:sz w:val="24"/>
          <w:szCs w:val="24"/>
        </w:rPr>
      </w:pPr>
    </w:p>
    <w:p>
      <w:pPr>
        <w:widowControl/>
        <w:spacing w:before="100" w:beforeAutospacing="1" w:after="100" w:afterAutospacing="1"/>
        <w:jc w:val="right"/>
        <w:rPr>
          <w:rFonts w:cs="宋体" w:asciiTheme="majorEastAsia" w:hAnsiTheme="majorEastAsia" w:eastAsiaTheme="majorEastAsia"/>
          <w:kern w:val="0"/>
          <w:sz w:val="24"/>
          <w:szCs w:val="24"/>
        </w:rPr>
      </w:pPr>
      <w:r>
        <w:rPr>
          <w:rFonts w:cs="宋体" w:asciiTheme="majorEastAsia" w:hAnsiTheme="majorEastAsia" w:eastAsiaTheme="majorEastAsia"/>
          <w:kern w:val="0"/>
          <w:sz w:val="24"/>
          <w:szCs w:val="24"/>
        </w:rPr>
        <w:t>华东理工大学</w:t>
      </w:r>
      <w:r>
        <w:rPr>
          <w:rFonts w:hint="eastAsia" w:cs="宋体" w:asciiTheme="majorEastAsia" w:hAnsiTheme="majorEastAsia" w:eastAsiaTheme="majorEastAsia"/>
          <w:kern w:val="0"/>
          <w:sz w:val="24"/>
          <w:szCs w:val="24"/>
        </w:rPr>
        <w:t>研究生招生办公室</w:t>
      </w:r>
    </w:p>
    <w:p>
      <w:pPr>
        <w:ind w:right="480"/>
        <w:jc w:val="center"/>
        <w:rPr>
          <w:rFonts w:eastAsiaTheme="majorEastAsia"/>
        </w:rPr>
      </w:pPr>
      <w:r>
        <w:rPr>
          <w:rFonts w:hint="eastAsia" w:cs="宋体" w:asciiTheme="majorEastAsia" w:hAnsiTheme="majorEastAsia" w:eastAsiaTheme="majorEastAsia"/>
          <w:kern w:val="0"/>
          <w:sz w:val="24"/>
          <w:szCs w:val="24"/>
        </w:rPr>
        <w:t xml:space="preserve">                                            202</w:t>
      </w:r>
      <w:r>
        <w:rPr>
          <w:rFonts w:hint="eastAsia" w:cs="宋体" w:asciiTheme="majorEastAsia" w:hAnsiTheme="majorEastAsia" w:eastAsiaTheme="majorEastAsia"/>
          <w:kern w:val="0"/>
          <w:sz w:val="24"/>
          <w:szCs w:val="24"/>
          <w:lang w:val="en-US" w:eastAsia="zh-CN"/>
        </w:rPr>
        <w:t>3</w:t>
      </w:r>
      <w:bookmarkStart w:id="0" w:name="_GoBack"/>
      <w:bookmarkEnd w:id="0"/>
      <w:r>
        <w:rPr>
          <w:rFonts w:hint="eastAsia" w:cs="宋体" w:asciiTheme="majorEastAsia" w:hAnsiTheme="majorEastAsia" w:eastAsiaTheme="majorEastAsia"/>
          <w:kern w:val="0"/>
          <w:sz w:val="24"/>
          <w:szCs w:val="24"/>
        </w:rPr>
        <w:t>年11月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JmMWNjZGY2OGFkOGJjYjBmM2U4YjljOWUzY2M1MmEifQ=="/>
  </w:docVars>
  <w:rsids>
    <w:rsidRoot w:val="0066587B"/>
    <w:rsid w:val="000434C5"/>
    <w:rsid w:val="000834AD"/>
    <w:rsid w:val="002B61B2"/>
    <w:rsid w:val="00317A4F"/>
    <w:rsid w:val="00320663"/>
    <w:rsid w:val="0039242E"/>
    <w:rsid w:val="003B4E02"/>
    <w:rsid w:val="003C6664"/>
    <w:rsid w:val="0047496F"/>
    <w:rsid w:val="005F1F80"/>
    <w:rsid w:val="00661462"/>
    <w:rsid w:val="0066587B"/>
    <w:rsid w:val="006D43E8"/>
    <w:rsid w:val="006E10E2"/>
    <w:rsid w:val="0073613A"/>
    <w:rsid w:val="00752579"/>
    <w:rsid w:val="007767F4"/>
    <w:rsid w:val="008061D9"/>
    <w:rsid w:val="0087101B"/>
    <w:rsid w:val="00906B85"/>
    <w:rsid w:val="0092183B"/>
    <w:rsid w:val="009263E8"/>
    <w:rsid w:val="009A5EEE"/>
    <w:rsid w:val="009C4180"/>
    <w:rsid w:val="00A2515B"/>
    <w:rsid w:val="00AD3745"/>
    <w:rsid w:val="00AE53A8"/>
    <w:rsid w:val="00B80C48"/>
    <w:rsid w:val="00CD6FAE"/>
    <w:rsid w:val="00E646F7"/>
    <w:rsid w:val="00E72AE6"/>
    <w:rsid w:val="00ED1830"/>
    <w:rsid w:val="00EE1901"/>
    <w:rsid w:val="00F43384"/>
    <w:rsid w:val="030B79B7"/>
    <w:rsid w:val="06156D5A"/>
    <w:rsid w:val="1CCD2A83"/>
    <w:rsid w:val="28304F43"/>
    <w:rsid w:val="2941554F"/>
    <w:rsid w:val="36EC31CA"/>
    <w:rsid w:val="576B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